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8B" w:rsidRDefault="00CB1827">
      <w:pPr>
        <w:rPr>
          <w:b/>
          <w:sz w:val="40"/>
          <w:szCs w:val="40"/>
        </w:rPr>
      </w:pPr>
      <w:bookmarkStart w:id="0" w:name="_GoBack"/>
      <w:bookmarkEnd w:id="0"/>
      <w:r w:rsidRPr="00CB1827">
        <w:rPr>
          <w:b/>
          <w:sz w:val="40"/>
          <w:szCs w:val="40"/>
        </w:rPr>
        <w:t>Logic Model</w:t>
      </w:r>
      <w:r w:rsidR="00160409">
        <w:rPr>
          <w:b/>
          <w:sz w:val="40"/>
          <w:szCs w:val="40"/>
        </w:rPr>
        <w:t xml:space="preserve"> – Examples</w:t>
      </w:r>
    </w:p>
    <w:p w:rsidR="00160409" w:rsidRPr="00160409" w:rsidRDefault="00BC174D" w:rsidP="00160409">
      <w:r>
        <w:t xml:space="preserve">SMART Goal: </w:t>
      </w:r>
      <w:r w:rsidR="00160409" w:rsidRPr="00ED46F3">
        <w:t xml:space="preserve">Middle and high school students </w:t>
      </w:r>
      <w:r w:rsidR="00160409">
        <w:t xml:space="preserve">will increase their ability to </w:t>
      </w:r>
      <w:r w:rsidR="00160409" w:rsidRPr="00ED46F3">
        <w:t xml:space="preserve">demonstrate </w:t>
      </w:r>
      <w:r w:rsidR="00160409">
        <w:t>and be able to articulate which of the Eight M</w:t>
      </w:r>
      <w:r w:rsidR="00160409" w:rsidRPr="00ED46F3">
        <w:t>athematic</w:t>
      </w:r>
      <w:r w:rsidR="00160409">
        <w:t>al P</w:t>
      </w:r>
      <w:r w:rsidR="00160409" w:rsidRPr="00ED46F3">
        <w:t xml:space="preserve">ractices </w:t>
      </w:r>
      <w:r w:rsidR="00160409">
        <w:t xml:space="preserve">they are using </w:t>
      </w:r>
      <w:r w:rsidR="00160409" w:rsidRPr="00ED46F3">
        <w:t>during daily instruction as measured by classroom walkthroughs that use a m</w:t>
      </w:r>
      <w:r>
        <w:t>athematical practices checklist by December 1, 2013.</w:t>
      </w: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1913"/>
        <w:gridCol w:w="2425"/>
        <w:gridCol w:w="2520"/>
        <w:gridCol w:w="4680"/>
        <w:gridCol w:w="1800"/>
      </w:tblGrid>
      <w:tr w:rsidR="00CB1827" w:rsidTr="00BC174D">
        <w:trPr>
          <w:trHeight w:val="710"/>
        </w:trPr>
        <w:tc>
          <w:tcPr>
            <w:tcW w:w="1913" w:type="dxa"/>
          </w:tcPr>
          <w:p w:rsidR="00CB1827" w:rsidRPr="00CB1827" w:rsidRDefault="00CB1827" w:rsidP="00CB1827">
            <w:pPr>
              <w:jc w:val="center"/>
              <w:rPr>
                <w:b/>
                <w:sz w:val="28"/>
                <w:szCs w:val="28"/>
              </w:rPr>
            </w:pPr>
            <w:r w:rsidRPr="00CB1827">
              <w:rPr>
                <w:b/>
                <w:sz w:val="28"/>
                <w:szCs w:val="28"/>
              </w:rPr>
              <w:t>Inputs</w:t>
            </w:r>
          </w:p>
        </w:tc>
        <w:tc>
          <w:tcPr>
            <w:tcW w:w="2425" w:type="dxa"/>
          </w:tcPr>
          <w:p w:rsidR="00CB1827" w:rsidRPr="00CB1827" w:rsidRDefault="00CB1827" w:rsidP="00CB1827">
            <w:pPr>
              <w:jc w:val="center"/>
              <w:rPr>
                <w:b/>
                <w:sz w:val="28"/>
                <w:szCs w:val="28"/>
              </w:rPr>
            </w:pPr>
            <w:r w:rsidRPr="00CB1827">
              <w:rPr>
                <w:b/>
                <w:sz w:val="28"/>
                <w:szCs w:val="28"/>
              </w:rPr>
              <w:t>Activities</w:t>
            </w:r>
          </w:p>
        </w:tc>
        <w:tc>
          <w:tcPr>
            <w:tcW w:w="2520" w:type="dxa"/>
          </w:tcPr>
          <w:p w:rsidR="00CB1827" w:rsidRPr="00CB1827" w:rsidRDefault="00CB1827" w:rsidP="00CB1827">
            <w:pPr>
              <w:jc w:val="center"/>
              <w:rPr>
                <w:b/>
                <w:sz w:val="28"/>
                <w:szCs w:val="28"/>
              </w:rPr>
            </w:pPr>
            <w:r w:rsidRPr="00CB1827">
              <w:rPr>
                <w:b/>
                <w:sz w:val="28"/>
                <w:szCs w:val="28"/>
              </w:rPr>
              <w:t>Initial Outcomes</w:t>
            </w:r>
          </w:p>
        </w:tc>
        <w:tc>
          <w:tcPr>
            <w:tcW w:w="4680" w:type="dxa"/>
          </w:tcPr>
          <w:p w:rsidR="00CB1827" w:rsidRPr="00CB1827" w:rsidRDefault="00CB1827" w:rsidP="00CB1827">
            <w:pPr>
              <w:jc w:val="center"/>
              <w:rPr>
                <w:b/>
                <w:sz w:val="28"/>
                <w:szCs w:val="28"/>
              </w:rPr>
            </w:pPr>
            <w:r w:rsidRPr="00CB1827">
              <w:rPr>
                <w:b/>
                <w:sz w:val="28"/>
                <w:szCs w:val="28"/>
              </w:rPr>
              <w:t>Intermediate Outcomes</w:t>
            </w:r>
          </w:p>
        </w:tc>
        <w:tc>
          <w:tcPr>
            <w:tcW w:w="1800" w:type="dxa"/>
          </w:tcPr>
          <w:p w:rsidR="00CB1827" w:rsidRPr="00CB1827" w:rsidRDefault="00CB1827" w:rsidP="00CB1827">
            <w:pPr>
              <w:jc w:val="center"/>
              <w:rPr>
                <w:b/>
                <w:sz w:val="28"/>
                <w:szCs w:val="28"/>
              </w:rPr>
            </w:pPr>
            <w:r w:rsidRPr="00CB1827">
              <w:rPr>
                <w:b/>
                <w:sz w:val="28"/>
                <w:szCs w:val="28"/>
              </w:rPr>
              <w:t>Intended Results</w:t>
            </w:r>
          </w:p>
        </w:tc>
      </w:tr>
      <w:tr w:rsidR="001173AF" w:rsidTr="00BC174D">
        <w:trPr>
          <w:trHeight w:val="6476"/>
        </w:trPr>
        <w:tc>
          <w:tcPr>
            <w:tcW w:w="1913" w:type="dxa"/>
          </w:tcPr>
          <w:p w:rsidR="001173AF" w:rsidRDefault="001173AF">
            <w:r>
              <w:t>Resources – human, material, time, etc.</w:t>
            </w:r>
          </w:p>
          <w:p w:rsidR="001173AF" w:rsidRDefault="001173AF"/>
          <w:p w:rsidR="001173AF" w:rsidRDefault="001173AF">
            <w:r>
              <w:t>Provide release time for professional development sessions</w:t>
            </w:r>
          </w:p>
          <w:p w:rsidR="001173AF" w:rsidRDefault="001173AF"/>
          <w:p w:rsidR="001173AF" w:rsidRDefault="001173AF">
            <w:r>
              <w:t>Facilitators</w:t>
            </w:r>
          </w:p>
          <w:p w:rsidR="001173AF" w:rsidRDefault="001173AF"/>
          <w:p w:rsidR="001173AF" w:rsidRDefault="001173AF">
            <w:r>
              <w:t>Common planning time</w:t>
            </w:r>
          </w:p>
          <w:p w:rsidR="001173AF" w:rsidRDefault="001173AF"/>
          <w:p w:rsidR="001173AF" w:rsidRDefault="001173AF">
            <w:r>
              <w:t>Sample checklist(s) and time to develop a common checklist</w:t>
            </w:r>
          </w:p>
          <w:p w:rsidR="001173AF" w:rsidRDefault="001173AF"/>
          <w:p w:rsidR="001173AF" w:rsidRDefault="001173AF"/>
        </w:tc>
        <w:tc>
          <w:tcPr>
            <w:tcW w:w="2425" w:type="dxa"/>
          </w:tcPr>
          <w:p w:rsidR="001173AF" w:rsidRDefault="001173AF" w:rsidP="00160409">
            <w:r>
              <w:t>P</w:t>
            </w:r>
            <w:r w:rsidRPr="00167D87">
              <w:t xml:space="preserve">rovide at least 2 professional development </w:t>
            </w:r>
            <w:r>
              <w:t xml:space="preserve">sessions </w:t>
            </w:r>
            <w:r w:rsidRPr="00167D87">
              <w:t xml:space="preserve">for </w:t>
            </w:r>
            <w:r>
              <w:t>all</w:t>
            </w:r>
            <w:r w:rsidRPr="00167D87">
              <w:t xml:space="preserve"> math teachers </w:t>
            </w:r>
            <w:r>
              <w:t>to learn more about math</w:t>
            </w:r>
            <w:r w:rsidRPr="00167D87">
              <w:t xml:space="preserve"> Common Core standards </w:t>
            </w:r>
            <w:r>
              <w:t>and practices.</w:t>
            </w:r>
          </w:p>
          <w:p w:rsidR="001173AF" w:rsidRDefault="001173AF" w:rsidP="00160409"/>
          <w:p w:rsidR="001173AF" w:rsidRDefault="001173AF" w:rsidP="00160409">
            <w:r>
              <w:t>Develop and review a checklist with teachers.</w:t>
            </w:r>
          </w:p>
          <w:p w:rsidR="001173AF" w:rsidRDefault="001173AF" w:rsidP="00160409">
            <w:pPr>
              <w:ind w:left="360"/>
            </w:pPr>
          </w:p>
          <w:p w:rsidR="001173AF" w:rsidRPr="00160409" w:rsidRDefault="001173AF" w:rsidP="00160409">
            <w:pPr>
              <w:rPr>
                <w:i/>
              </w:rPr>
            </w:pPr>
            <w:r>
              <w:t>Teachers plan lessons with a focus on the mathematical practices.</w:t>
            </w:r>
          </w:p>
          <w:p w:rsidR="001173AF" w:rsidRDefault="001173AF"/>
          <w:p w:rsidR="001173AF" w:rsidRDefault="001173AF"/>
          <w:p w:rsidR="001173AF" w:rsidRDefault="001173AF"/>
          <w:p w:rsidR="001173AF" w:rsidRDefault="001173AF"/>
          <w:p w:rsidR="001173AF" w:rsidRDefault="001173AF"/>
          <w:p w:rsidR="001173AF" w:rsidRDefault="001173AF"/>
        </w:tc>
        <w:tc>
          <w:tcPr>
            <w:tcW w:w="2520" w:type="dxa"/>
          </w:tcPr>
          <w:p w:rsidR="001173AF" w:rsidRDefault="001173AF">
            <w:r>
              <w:t>Teachers build knowledge about mathematical standards and practices</w:t>
            </w:r>
          </w:p>
          <w:p w:rsidR="001173AF" w:rsidRDefault="001173AF"/>
          <w:p w:rsidR="001173AF" w:rsidRDefault="001173AF" w:rsidP="00160409">
            <w:r>
              <w:t xml:space="preserve">Teachers begin to collaborate and share ideas with peers about effective practices </w:t>
            </w:r>
          </w:p>
          <w:p w:rsidR="001173AF" w:rsidRDefault="001173AF" w:rsidP="00160409"/>
          <w:p w:rsidR="001173AF" w:rsidRDefault="001173AF" w:rsidP="00160409">
            <w:r>
              <w:t>The Eight Mathematical Practices become embedded into their lesson design</w:t>
            </w:r>
          </w:p>
          <w:p w:rsidR="001173AF" w:rsidRDefault="001173AF" w:rsidP="00160409"/>
        </w:tc>
        <w:tc>
          <w:tcPr>
            <w:tcW w:w="4680" w:type="dxa"/>
          </w:tcPr>
          <w:p w:rsidR="001173AF" w:rsidRDefault="001173AF">
            <w:r>
              <w:t>Teachers collaboratively design an observational checklist</w:t>
            </w:r>
          </w:p>
          <w:p w:rsidR="001173AF" w:rsidRDefault="001173AF"/>
          <w:p w:rsidR="001173AF" w:rsidRDefault="001173AF">
            <w:r>
              <w:t>Teacher plan and use lessons based on the Eight Mathematical Practices</w:t>
            </w:r>
          </w:p>
          <w:p w:rsidR="001173AF" w:rsidRDefault="001173AF"/>
          <w:p w:rsidR="001173AF" w:rsidRDefault="001173AF">
            <w:r>
              <w:t>Teachers make decisions based on student performance data</w:t>
            </w:r>
          </w:p>
          <w:p w:rsidR="001173AF" w:rsidRDefault="001173AF"/>
          <w:p w:rsidR="001173AF" w:rsidRDefault="001173AF">
            <w:r>
              <w:t>Teachers are selecting resources aligned to common core</w:t>
            </w:r>
          </w:p>
          <w:p w:rsidR="001173AF" w:rsidRDefault="001173AF"/>
          <w:p w:rsidR="001173AF" w:rsidRDefault="001173AF">
            <w:r>
              <w:t>Teachers apply principles of UDL for students to have access to the Common Core</w:t>
            </w:r>
          </w:p>
          <w:p w:rsidR="001173AF" w:rsidRDefault="001173AF"/>
          <w:p w:rsidR="00BC174D" w:rsidRDefault="001173AF" w:rsidP="00BC174D">
            <w:r>
              <w:t>Classroom environment shifts to a student-centered environment</w:t>
            </w:r>
          </w:p>
          <w:p w:rsidR="00BC174D" w:rsidRDefault="00BC174D" w:rsidP="00BC174D"/>
          <w:p w:rsidR="00BC174D" w:rsidRDefault="00BC174D" w:rsidP="00BC174D">
            <w:r>
              <w:t>Students become articulate about what they are learning in mathematics in regards to the Eight Mathematical Practices</w:t>
            </w:r>
          </w:p>
          <w:p w:rsidR="00BC174D" w:rsidRDefault="00BC174D" w:rsidP="00BC174D"/>
          <w:p w:rsidR="001173AF" w:rsidRDefault="00BC174D" w:rsidP="00BC174D">
            <w:r>
              <w:t>As measured by the observation checklist, the focus of the Eight Mathematical Practices will be evident in every lesson</w:t>
            </w:r>
          </w:p>
        </w:tc>
        <w:tc>
          <w:tcPr>
            <w:tcW w:w="1800" w:type="dxa"/>
          </w:tcPr>
          <w:p w:rsidR="001173AF" w:rsidRDefault="001173AF">
            <w:r>
              <w:t>Increased student achievement</w:t>
            </w:r>
          </w:p>
          <w:p w:rsidR="001173AF" w:rsidRDefault="001173AF"/>
          <w:p w:rsidR="001173AF" w:rsidRDefault="001173AF"/>
        </w:tc>
      </w:tr>
    </w:tbl>
    <w:p w:rsidR="001173AF" w:rsidRPr="001173AF" w:rsidRDefault="00BC174D" w:rsidP="00160409">
      <w:r>
        <w:lastRenderedPageBreak/>
        <w:t xml:space="preserve">SMART Goal: </w:t>
      </w:r>
      <w:r w:rsidR="001173AF">
        <w:t xml:space="preserve">All teachers in Grades 6-12 will increase use of EVAAS data in instructional planning as measured by the analysis of </w:t>
      </w:r>
      <w:r w:rsidR="001173AF" w:rsidRPr="00E0216F">
        <w:rPr>
          <w:i/>
        </w:rPr>
        <w:t>Academic Preparedness Reports</w:t>
      </w:r>
      <w:r w:rsidR="001173AF">
        <w:t xml:space="preserve"> and created </w:t>
      </w:r>
      <w:r w:rsidR="001173AF" w:rsidRPr="00E0216F">
        <w:rPr>
          <w:i/>
        </w:rPr>
        <w:t>Custom Student Reports</w:t>
      </w:r>
      <w:r w:rsidR="001173AF">
        <w:t>, as shared in PLC or team meeting notes submitted t</w:t>
      </w:r>
      <w:r w:rsidR="007F1539">
        <w:t>o the principal by April 1, 2014</w:t>
      </w:r>
      <w:r w:rsidR="001173AF">
        <w:t xml:space="preserve">. </w:t>
      </w: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1913"/>
        <w:gridCol w:w="2425"/>
        <w:gridCol w:w="2520"/>
        <w:gridCol w:w="3060"/>
        <w:gridCol w:w="3420"/>
      </w:tblGrid>
      <w:tr w:rsidR="001173AF" w:rsidRPr="00CB1827" w:rsidTr="00BE0326">
        <w:trPr>
          <w:trHeight w:val="710"/>
        </w:trPr>
        <w:tc>
          <w:tcPr>
            <w:tcW w:w="1913" w:type="dxa"/>
          </w:tcPr>
          <w:p w:rsidR="001173AF" w:rsidRPr="00CB1827" w:rsidRDefault="001173AF" w:rsidP="00BE0326">
            <w:pPr>
              <w:jc w:val="center"/>
              <w:rPr>
                <w:b/>
                <w:sz w:val="28"/>
                <w:szCs w:val="28"/>
              </w:rPr>
            </w:pPr>
            <w:r w:rsidRPr="00CB1827">
              <w:rPr>
                <w:b/>
                <w:sz w:val="28"/>
                <w:szCs w:val="28"/>
              </w:rPr>
              <w:t>Inputs</w:t>
            </w:r>
          </w:p>
        </w:tc>
        <w:tc>
          <w:tcPr>
            <w:tcW w:w="2425" w:type="dxa"/>
          </w:tcPr>
          <w:p w:rsidR="001173AF" w:rsidRPr="00CB1827" w:rsidRDefault="001173AF" w:rsidP="00BE0326">
            <w:pPr>
              <w:jc w:val="center"/>
              <w:rPr>
                <w:b/>
                <w:sz w:val="28"/>
                <w:szCs w:val="28"/>
              </w:rPr>
            </w:pPr>
            <w:r w:rsidRPr="00CB1827">
              <w:rPr>
                <w:b/>
                <w:sz w:val="28"/>
                <w:szCs w:val="28"/>
              </w:rPr>
              <w:t>Activities</w:t>
            </w:r>
          </w:p>
        </w:tc>
        <w:tc>
          <w:tcPr>
            <w:tcW w:w="2520" w:type="dxa"/>
          </w:tcPr>
          <w:p w:rsidR="001173AF" w:rsidRPr="00CB1827" w:rsidRDefault="001173AF" w:rsidP="00BE0326">
            <w:pPr>
              <w:jc w:val="center"/>
              <w:rPr>
                <w:b/>
                <w:sz w:val="28"/>
                <w:szCs w:val="28"/>
              </w:rPr>
            </w:pPr>
            <w:r w:rsidRPr="00CB1827">
              <w:rPr>
                <w:b/>
                <w:sz w:val="28"/>
                <w:szCs w:val="28"/>
              </w:rPr>
              <w:t>Initial Outcomes</w:t>
            </w:r>
          </w:p>
        </w:tc>
        <w:tc>
          <w:tcPr>
            <w:tcW w:w="3060" w:type="dxa"/>
          </w:tcPr>
          <w:p w:rsidR="001173AF" w:rsidRPr="00CB1827" w:rsidRDefault="001173AF" w:rsidP="00BE0326">
            <w:pPr>
              <w:jc w:val="center"/>
              <w:rPr>
                <w:b/>
                <w:sz w:val="28"/>
                <w:szCs w:val="28"/>
              </w:rPr>
            </w:pPr>
            <w:r w:rsidRPr="00CB1827">
              <w:rPr>
                <w:b/>
                <w:sz w:val="28"/>
                <w:szCs w:val="28"/>
              </w:rPr>
              <w:t>Intermediate Outcomes</w:t>
            </w:r>
          </w:p>
        </w:tc>
        <w:tc>
          <w:tcPr>
            <w:tcW w:w="3420" w:type="dxa"/>
          </w:tcPr>
          <w:p w:rsidR="001173AF" w:rsidRPr="00CB1827" w:rsidRDefault="001173AF" w:rsidP="00BE0326">
            <w:pPr>
              <w:jc w:val="center"/>
              <w:rPr>
                <w:b/>
                <w:sz w:val="28"/>
                <w:szCs w:val="28"/>
              </w:rPr>
            </w:pPr>
            <w:r w:rsidRPr="00CB1827">
              <w:rPr>
                <w:b/>
                <w:sz w:val="28"/>
                <w:szCs w:val="28"/>
              </w:rPr>
              <w:t>Intended Results</w:t>
            </w:r>
          </w:p>
        </w:tc>
      </w:tr>
      <w:tr w:rsidR="001173AF" w:rsidTr="00BE0326">
        <w:trPr>
          <w:trHeight w:val="6476"/>
        </w:trPr>
        <w:tc>
          <w:tcPr>
            <w:tcW w:w="1913" w:type="dxa"/>
          </w:tcPr>
          <w:p w:rsidR="00F232EC" w:rsidRDefault="00F232EC" w:rsidP="00F232EC">
            <w:r>
              <w:t>Resources – human, material, time, etc.</w:t>
            </w:r>
          </w:p>
          <w:p w:rsidR="00F232EC" w:rsidRDefault="00F232EC" w:rsidP="00F232EC"/>
          <w:p w:rsidR="00F232EC" w:rsidRDefault="00F232EC" w:rsidP="00F232EC">
            <w:r>
              <w:t>Provide release time for professional development sessions</w:t>
            </w:r>
          </w:p>
          <w:p w:rsidR="00F232EC" w:rsidRDefault="00F232EC" w:rsidP="00F232EC"/>
          <w:p w:rsidR="00F232EC" w:rsidRDefault="00F232EC" w:rsidP="00F232EC">
            <w:r>
              <w:t>Facilitators</w:t>
            </w:r>
          </w:p>
          <w:p w:rsidR="00F232EC" w:rsidRDefault="00F232EC" w:rsidP="00F232EC"/>
          <w:p w:rsidR="00F232EC" w:rsidRDefault="00F232EC" w:rsidP="00F232EC">
            <w:r>
              <w:t>Common planning time</w:t>
            </w:r>
          </w:p>
          <w:p w:rsidR="001173AF" w:rsidRDefault="001173AF" w:rsidP="00BE0326"/>
          <w:p w:rsidR="00F232EC" w:rsidRDefault="00F232EC" w:rsidP="00BE0326">
            <w:r>
              <w:t>EVAAS login and appropriate access given by the district administrator</w:t>
            </w:r>
          </w:p>
          <w:p w:rsidR="00F232EC" w:rsidRDefault="00F232EC" w:rsidP="00BE0326"/>
          <w:p w:rsidR="00F232EC" w:rsidRDefault="00F232EC" w:rsidP="00BE0326">
            <w:r>
              <w:t>Digital PLC template</w:t>
            </w:r>
          </w:p>
        </w:tc>
        <w:tc>
          <w:tcPr>
            <w:tcW w:w="2425" w:type="dxa"/>
          </w:tcPr>
          <w:p w:rsidR="001173AF" w:rsidRPr="0069208C" w:rsidRDefault="001173AF" w:rsidP="001173AF">
            <w:pPr>
              <w:tabs>
                <w:tab w:val="left" w:pos="357"/>
              </w:tabs>
            </w:pPr>
            <w:r w:rsidRPr="0069208C">
              <w:t xml:space="preserve">Review EVAAS updates and past training in staff meetings. </w:t>
            </w:r>
          </w:p>
          <w:p w:rsidR="001173AF" w:rsidRDefault="001173AF" w:rsidP="001173AF">
            <w:pPr>
              <w:tabs>
                <w:tab w:val="left" w:pos="357"/>
              </w:tabs>
              <w:ind w:left="360"/>
            </w:pPr>
          </w:p>
          <w:p w:rsidR="001173AF" w:rsidRPr="0069208C" w:rsidRDefault="001173AF" w:rsidP="001173AF">
            <w:pPr>
              <w:tabs>
                <w:tab w:val="left" w:pos="357"/>
              </w:tabs>
            </w:pPr>
            <w:r w:rsidRPr="0069208C">
              <w:t>Provide training for new teachers and teachers who need additional assistance.</w:t>
            </w:r>
          </w:p>
          <w:p w:rsidR="001173AF" w:rsidRDefault="001173AF" w:rsidP="001173AF">
            <w:pPr>
              <w:tabs>
                <w:tab w:val="left" w:pos="357"/>
              </w:tabs>
              <w:ind w:left="360"/>
            </w:pPr>
          </w:p>
          <w:p w:rsidR="001173AF" w:rsidRDefault="00F232EC" w:rsidP="001173AF">
            <w:pPr>
              <w:tabs>
                <w:tab w:val="left" w:pos="357"/>
              </w:tabs>
            </w:pPr>
            <w:r>
              <w:t>Provide</w:t>
            </w:r>
            <w:r w:rsidR="001173AF" w:rsidRPr="0069208C">
              <w:t xml:space="preserve"> </w:t>
            </w:r>
            <w:r w:rsidR="001173AF">
              <w:t xml:space="preserve">digital </w:t>
            </w:r>
            <w:r w:rsidR="001173AF" w:rsidRPr="0069208C">
              <w:t>PLC agenda template for data team and PLC meetings with notes</w:t>
            </w:r>
            <w:r>
              <w:t xml:space="preserve"> to be submitted to</w:t>
            </w:r>
            <w:r w:rsidR="001173AF">
              <w:t xml:space="preserve"> principal.</w:t>
            </w:r>
          </w:p>
          <w:p w:rsidR="001173AF" w:rsidRDefault="001173AF" w:rsidP="00BE0326"/>
        </w:tc>
        <w:tc>
          <w:tcPr>
            <w:tcW w:w="2520" w:type="dxa"/>
          </w:tcPr>
          <w:p w:rsidR="001173AF" w:rsidRDefault="0048208F" w:rsidP="00BE0326">
            <w:r>
              <w:t>Teachers will u</w:t>
            </w:r>
            <w:r w:rsidR="00F232EC">
              <w:t xml:space="preserve">nderstand </w:t>
            </w:r>
            <w:r>
              <w:t>the purpose of each EVAAS report</w:t>
            </w:r>
            <w:r w:rsidR="00F232EC">
              <w:t xml:space="preserve"> </w:t>
            </w:r>
          </w:p>
          <w:p w:rsidR="00F232EC" w:rsidRDefault="00F232EC" w:rsidP="00BE0326"/>
          <w:p w:rsidR="00F232EC" w:rsidRDefault="0048208F" w:rsidP="00BE0326">
            <w:r>
              <w:t>Teachers will begin to understand</w:t>
            </w:r>
            <w:r w:rsidR="00F232EC">
              <w:t xml:space="preserve"> how to use </w:t>
            </w:r>
            <w:r>
              <w:t xml:space="preserve">EVAAS </w:t>
            </w:r>
            <w:r w:rsidR="00F232EC">
              <w:t>reports</w:t>
            </w:r>
          </w:p>
          <w:p w:rsidR="00F232EC" w:rsidRDefault="00F232EC" w:rsidP="00BE0326"/>
          <w:p w:rsidR="00F232EC" w:rsidRDefault="0048208F" w:rsidP="00BE0326">
            <w:r>
              <w:t>Teachers will</w:t>
            </w:r>
            <w:r w:rsidR="00F232EC">
              <w:t xml:space="preserve"> create customized reports</w:t>
            </w:r>
          </w:p>
          <w:p w:rsidR="00F232EC" w:rsidRDefault="00F232EC" w:rsidP="00BE0326"/>
          <w:p w:rsidR="00F232EC" w:rsidRDefault="0048208F" w:rsidP="00BE0326">
            <w:r>
              <w:t xml:space="preserve">Teachers will begin to </w:t>
            </w:r>
            <w:r w:rsidR="00F232EC">
              <w:t>Discuss</w:t>
            </w:r>
            <w:r>
              <w:t xml:space="preserve"> EVAAS reports and data</w:t>
            </w:r>
            <w:r w:rsidR="00F232EC">
              <w:t xml:space="preserve"> with peers</w:t>
            </w:r>
          </w:p>
          <w:p w:rsidR="00F232EC" w:rsidRDefault="00F232EC" w:rsidP="00BE0326"/>
          <w:p w:rsidR="00F232EC" w:rsidRDefault="0048208F" w:rsidP="00BE0326">
            <w:r>
              <w:t>Teachers will u</w:t>
            </w:r>
            <w:r w:rsidR="00F232EC">
              <w:t>se</w:t>
            </w:r>
            <w:r>
              <w:t xml:space="preserve"> the </w:t>
            </w:r>
            <w:r w:rsidR="00F232EC">
              <w:t xml:space="preserve"> PLC template</w:t>
            </w:r>
          </w:p>
        </w:tc>
        <w:tc>
          <w:tcPr>
            <w:tcW w:w="3060" w:type="dxa"/>
          </w:tcPr>
          <w:p w:rsidR="001173AF" w:rsidRDefault="00D6030D" w:rsidP="00BE0326">
            <w:r>
              <w:t>Teacher consistently u</w:t>
            </w:r>
            <w:r w:rsidR="00F232EC">
              <w:t>se reports for instructional planning</w:t>
            </w:r>
          </w:p>
          <w:p w:rsidR="00F232EC" w:rsidRDefault="00F232EC" w:rsidP="00BE0326"/>
          <w:p w:rsidR="00F232EC" w:rsidRDefault="00D6030D" w:rsidP="00BE0326">
            <w:r>
              <w:t>Teachers will t</w:t>
            </w:r>
            <w:r w:rsidR="00F232EC">
              <w:t>arget student needs</w:t>
            </w:r>
            <w:r>
              <w:t xml:space="preserve"> based on EVAAS reports</w:t>
            </w:r>
          </w:p>
          <w:p w:rsidR="00F232EC" w:rsidRDefault="00F232EC" w:rsidP="00BE0326"/>
          <w:p w:rsidR="00F232EC" w:rsidRDefault="00F232EC" w:rsidP="00BE0326">
            <w:r>
              <w:t>Scheduling and placement</w:t>
            </w:r>
            <w:r w:rsidR="006315DD">
              <w:t xml:space="preserve"> options are determined by a variety of data tools including EVAAS data/reports</w:t>
            </w:r>
          </w:p>
          <w:p w:rsidR="00F232EC" w:rsidRDefault="00F232EC" w:rsidP="00BE0326"/>
          <w:p w:rsidR="00F232EC" w:rsidRDefault="006315DD" w:rsidP="00BE0326">
            <w:r>
              <w:t xml:space="preserve">Decisions about continued use of programs </w:t>
            </w:r>
            <w:r w:rsidR="00D6030D">
              <w:t>and district resources are impacted by EVAAS data/reports</w:t>
            </w:r>
          </w:p>
          <w:p w:rsidR="00F232EC" w:rsidRDefault="00F232EC" w:rsidP="00BE0326"/>
          <w:p w:rsidR="00F232EC" w:rsidRDefault="00F232EC" w:rsidP="00BE0326">
            <w:r>
              <w:t>Student will use reports to set goals</w:t>
            </w:r>
          </w:p>
          <w:p w:rsidR="0048208F" w:rsidRDefault="0048208F" w:rsidP="00BE0326"/>
          <w:p w:rsidR="0048208F" w:rsidRDefault="0048208F" w:rsidP="00BE0326">
            <w:r>
              <w:t>Identify individual student situations and needs that have impacted recent achievement scores (external factors)</w:t>
            </w:r>
          </w:p>
          <w:p w:rsidR="0048208F" w:rsidRDefault="0048208F" w:rsidP="00BE0326"/>
          <w:p w:rsidR="0048208F" w:rsidRDefault="0048208F" w:rsidP="00BE0326">
            <w:r>
              <w:t>The PLC agenda template will become a reporting tool for meeting minutes and outcomes</w:t>
            </w:r>
          </w:p>
          <w:p w:rsidR="007F1539" w:rsidRDefault="007F1539" w:rsidP="00BE0326"/>
        </w:tc>
        <w:tc>
          <w:tcPr>
            <w:tcW w:w="3420" w:type="dxa"/>
          </w:tcPr>
          <w:p w:rsidR="001173AF" w:rsidRDefault="00F232EC" w:rsidP="00BE0326">
            <w:r>
              <w:t>Increased student achievement</w:t>
            </w:r>
          </w:p>
        </w:tc>
      </w:tr>
    </w:tbl>
    <w:p w:rsidR="007F1539" w:rsidRDefault="007F1539" w:rsidP="007F1539"/>
    <w:p w:rsidR="001173AF" w:rsidRPr="007F1539" w:rsidRDefault="00BC174D" w:rsidP="00160409">
      <w:r>
        <w:t xml:space="preserve">SMART Goal: </w:t>
      </w:r>
      <w:r w:rsidR="007F1539">
        <w:t>One hundred percent</w:t>
      </w:r>
      <w:r w:rsidR="007F1539" w:rsidRPr="00167D87">
        <w:t xml:space="preserve"> of </w:t>
      </w:r>
      <w:r w:rsidR="007F1539">
        <w:t xml:space="preserve">teachers will use three new </w:t>
      </w:r>
      <w:r w:rsidR="007F1539" w:rsidRPr="00167D87">
        <w:t>21st Century skills</w:t>
      </w:r>
      <w:r w:rsidR="007F1539">
        <w:t xml:space="preserve"> strategies in observed team-designed </w:t>
      </w:r>
      <w:r w:rsidR="007F1539" w:rsidRPr="00167D87">
        <w:t xml:space="preserve">lessons </w:t>
      </w:r>
      <w:r w:rsidR="007F1539">
        <w:t>by May 15, 2014</w:t>
      </w:r>
      <w:r w:rsidR="007F1539" w:rsidRPr="00167D87">
        <w:t>.</w:t>
      </w: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1913"/>
        <w:gridCol w:w="2425"/>
        <w:gridCol w:w="2520"/>
        <w:gridCol w:w="3060"/>
        <w:gridCol w:w="3420"/>
      </w:tblGrid>
      <w:tr w:rsidR="007F1539" w:rsidRPr="00CB1827" w:rsidTr="00BE0326">
        <w:trPr>
          <w:trHeight w:val="710"/>
        </w:trPr>
        <w:tc>
          <w:tcPr>
            <w:tcW w:w="1913" w:type="dxa"/>
          </w:tcPr>
          <w:p w:rsidR="007F1539" w:rsidRPr="00CB1827" w:rsidRDefault="007F1539" w:rsidP="00BE0326">
            <w:pPr>
              <w:jc w:val="center"/>
              <w:rPr>
                <w:b/>
                <w:sz w:val="28"/>
                <w:szCs w:val="28"/>
              </w:rPr>
            </w:pPr>
            <w:r w:rsidRPr="00CB1827">
              <w:rPr>
                <w:b/>
                <w:sz w:val="28"/>
                <w:szCs w:val="28"/>
              </w:rPr>
              <w:t>Inputs</w:t>
            </w:r>
          </w:p>
        </w:tc>
        <w:tc>
          <w:tcPr>
            <w:tcW w:w="2425" w:type="dxa"/>
          </w:tcPr>
          <w:p w:rsidR="007F1539" w:rsidRPr="00CB1827" w:rsidRDefault="007F1539" w:rsidP="00BE0326">
            <w:pPr>
              <w:jc w:val="center"/>
              <w:rPr>
                <w:b/>
                <w:sz w:val="28"/>
                <w:szCs w:val="28"/>
              </w:rPr>
            </w:pPr>
            <w:r w:rsidRPr="00CB1827">
              <w:rPr>
                <w:b/>
                <w:sz w:val="28"/>
                <w:szCs w:val="28"/>
              </w:rPr>
              <w:t>Activities</w:t>
            </w:r>
          </w:p>
        </w:tc>
        <w:tc>
          <w:tcPr>
            <w:tcW w:w="2520" w:type="dxa"/>
          </w:tcPr>
          <w:p w:rsidR="007F1539" w:rsidRPr="00CB1827" w:rsidRDefault="007F1539" w:rsidP="00BE0326">
            <w:pPr>
              <w:jc w:val="center"/>
              <w:rPr>
                <w:b/>
                <w:sz w:val="28"/>
                <w:szCs w:val="28"/>
              </w:rPr>
            </w:pPr>
            <w:r w:rsidRPr="00CB1827">
              <w:rPr>
                <w:b/>
                <w:sz w:val="28"/>
                <w:szCs w:val="28"/>
              </w:rPr>
              <w:t>Initial Outcomes</w:t>
            </w:r>
          </w:p>
        </w:tc>
        <w:tc>
          <w:tcPr>
            <w:tcW w:w="3060" w:type="dxa"/>
          </w:tcPr>
          <w:p w:rsidR="007F1539" w:rsidRPr="00CB1827" w:rsidRDefault="007F1539" w:rsidP="00BE0326">
            <w:pPr>
              <w:jc w:val="center"/>
              <w:rPr>
                <w:b/>
                <w:sz w:val="28"/>
                <w:szCs w:val="28"/>
              </w:rPr>
            </w:pPr>
            <w:r w:rsidRPr="00CB1827">
              <w:rPr>
                <w:b/>
                <w:sz w:val="28"/>
                <w:szCs w:val="28"/>
              </w:rPr>
              <w:t>Intermediate Outcomes</w:t>
            </w:r>
          </w:p>
        </w:tc>
        <w:tc>
          <w:tcPr>
            <w:tcW w:w="3420" w:type="dxa"/>
          </w:tcPr>
          <w:p w:rsidR="007F1539" w:rsidRPr="00CB1827" w:rsidRDefault="007F1539" w:rsidP="00BE0326">
            <w:pPr>
              <w:jc w:val="center"/>
              <w:rPr>
                <w:b/>
                <w:sz w:val="28"/>
                <w:szCs w:val="28"/>
              </w:rPr>
            </w:pPr>
            <w:r w:rsidRPr="00CB1827">
              <w:rPr>
                <w:b/>
                <w:sz w:val="28"/>
                <w:szCs w:val="28"/>
              </w:rPr>
              <w:t>Intended Results</w:t>
            </w:r>
          </w:p>
        </w:tc>
      </w:tr>
      <w:tr w:rsidR="007F1539" w:rsidTr="00BE0326">
        <w:trPr>
          <w:trHeight w:val="6476"/>
        </w:trPr>
        <w:tc>
          <w:tcPr>
            <w:tcW w:w="1913" w:type="dxa"/>
          </w:tcPr>
          <w:p w:rsidR="007F1539" w:rsidRDefault="007F1539" w:rsidP="007F1539">
            <w:r>
              <w:t>Resources – human, material, time, etc.</w:t>
            </w:r>
          </w:p>
          <w:p w:rsidR="007F1539" w:rsidRDefault="007F1539" w:rsidP="007F1539"/>
          <w:p w:rsidR="007F1539" w:rsidRDefault="007F1539" w:rsidP="007F1539">
            <w:r>
              <w:t>Provide release time for professional development sessions</w:t>
            </w:r>
          </w:p>
          <w:p w:rsidR="007F1539" w:rsidRDefault="007F1539" w:rsidP="007F1539"/>
          <w:p w:rsidR="007F1539" w:rsidRDefault="007F1539" w:rsidP="007F1539">
            <w:r>
              <w:t>Facilitators</w:t>
            </w:r>
          </w:p>
          <w:p w:rsidR="007F1539" w:rsidRDefault="007F1539" w:rsidP="007F1539"/>
          <w:p w:rsidR="007F1539" w:rsidRDefault="007F1539" w:rsidP="007F1539">
            <w:r>
              <w:t>Common planning time</w:t>
            </w:r>
          </w:p>
          <w:p w:rsidR="007F1539" w:rsidRDefault="007F1539" w:rsidP="00BE0326"/>
        </w:tc>
        <w:tc>
          <w:tcPr>
            <w:tcW w:w="2425" w:type="dxa"/>
          </w:tcPr>
          <w:p w:rsidR="007F1539" w:rsidRPr="007F1539" w:rsidRDefault="007F1539" w:rsidP="007F1539">
            <w:pPr>
              <w:rPr>
                <w:i/>
              </w:rPr>
            </w:pPr>
            <w:r w:rsidRPr="0069208C">
              <w:t xml:space="preserve">Principals provide professional development time for teachers to complete the DPI online module </w:t>
            </w:r>
            <w:r w:rsidRPr="007F1539">
              <w:rPr>
                <w:i/>
              </w:rPr>
              <w:t>Connecting with our 21st Century Learners.</w:t>
            </w:r>
          </w:p>
          <w:p w:rsidR="007F1539" w:rsidRDefault="007F1539" w:rsidP="007F1539"/>
          <w:p w:rsidR="007F1539" w:rsidRPr="00E0216F" w:rsidRDefault="007F1539" w:rsidP="007F1539">
            <w:r w:rsidRPr="00E0216F">
              <w:t>Teachers and administrators review sample lessons at P21.org.</w:t>
            </w:r>
          </w:p>
          <w:p w:rsidR="007F1539" w:rsidRDefault="007F1539" w:rsidP="007F1539">
            <w:pPr>
              <w:rPr>
                <w:sz w:val="24"/>
                <w:szCs w:val="24"/>
              </w:rPr>
            </w:pPr>
          </w:p>
          <w:p w:rsidR="007F1539" w:rsidRDefault="007F1539" w:rsidP="00BE0326"/>
        </w:tc>
        <w:tc>
          <w:tcPr>
            <w:tcW w:w="2520" w:type="dxa"/>
          </w:tcPr>
          <w:p w:rsidR="007F1539" w:rsidRDefault="007F1539" w:rsidP="00BE0326"/>
        </w:tc>
        <w:tc>
          <w:tcPr>
            <w:tcW w:w="3060" w:type="dxa"/>
          </w:tcPr>
          <w:p w:rsidR="007F1539" w:rsidRDefault="007F1539" w:rsidP="00BE0326"/>
        </w:tc>
        <w:tc>
          <w:tcPr>
            <w:tcW w:w="3420" w:type="dxa"/>
          </w:tcPr>
          <w:p w:rsidR="007F1539" w:rsidRDefault="007F1539" w:rsidP="00BE0326">
            <w:r>
              <w:t>Increased student achievement</w:t>
            </w:r>
          </w:p>
        </w:tc>
      </w:tr>
    </w:tbl>
    <w:p w:rsidR="007F1539" w:rsidRPr="00753C32" w:rsidRDefault="007F1539" w:rsidP="00160409">
      <w:pPr>
        <w:rPr>
          <w:sz w:val="24"/>
          <w:szCs w:val="24"/>
        </w:rPr>
      </w:pPr>
    </w:p>
    <w:sectPr w:rsidR="007F1539" w:rsidRPr="00753C32" w:rsidSect="001604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002E8"/>
    <w:multiLevelType w:val="hybridMultilevel"/>
    <w:tmpl w:val="675EF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D79FE"/>
    <w:multiLevelType w:val="hybridMultilevel"/>
    <w:tmpl w:val="9FDA0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E690E"/>
    <w:multiLevelType w:val="hybridMultilevel"/>
    <w:tmpl w:val="FF68F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0C27A1"/>
    <w:multiLevelType w:val="hybridMultilevel"/>
    <w:tmpl w:val="0C080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27"/>
    <w:rsid w:val="001173AF"/>
    <w:rsid w:val="00160409"/>
    <w:rsid w:val="00176A1F"/>
    <w:rsid w:val="0048208F"/>
    <w:rsid w:val="00521C40"/>
    <w:rsid w:val="006315DD"/>
    <w:rsid w:val="00741B59"/>
    <w:rsid w:val="00753C32"/>
    <w:rsid w:val="007678BE"/>
    <w:rsid w:val="007B41A2"/>
    <w:rsid w:val="007D2B8B"/>
    <w:rsid w:val="007F1539"/>
    <w:rsid w:val="009F070D"/>
    <w:rsid w:val="00AF78DE"/>
    <w:rsid w:val="00BC174D"/>
    <w:rsid w:val="00CB1827"/>
    <w:rsid w:val="00D119C3"/>
    <w:rsid w:val="00D6030D"/>
    <w:rsid w:val="00E701B1"/>
    <w:rsid w:val="00F2313C"/>
    <w:rsid w:val="00F2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3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3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hmartin</dc:creator>
  <cp:lastModifiedBy>Gail</cp:lastModifiedBy>
  <cp:revision>2</cp:revision>
  <dcterms:created xsi:type="dcterms:W3CDTF">2013-06-05T04:49:00Z</dcterms:created>
  <dcterms:modified xsi:type="dcterms:W3CDTF">2013-06-05T04:49:00Z</dcterms:modified>
</cp:coreProperties>
</file>